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2E8EE" w14:textId="384674B4" w:rsidR="00ED1B35" w:rsidRPr="0055584C" w:rsidRDefault="00ED1B35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The </w:t>
      </w:r>
      <w:r w:rsidR="00B203DC"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Casino Control and Other Legislation Amendment Bill 2022 (the Bill) introduces a range of reforms relevant to the liquor, gaming and fair trading portfolio. </w:t>
      </w:r>
    </w:p>
    <w:p w14:paraId="510F909A" w14:textId="6C678CFC" w:rsidR="00B203DC" w:rsidRPr="0055584C" w:rsidRDefault="00B203DC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The Bill amend</w:t>
      </w:r>
      <w:r w:rsidR="00237A34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s</w:t>
      </w: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the </w:t>
      </w:r>
      <w:r w:rsidRPr="0055584C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  <w:lang w:eastAsia="en-US"/>
        </w:rPr>
        <w:t>Casino Control Act 1982</w:t>
      </w: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(Casino Control Act) to enhance the rigour of Queensland’s regulation of casinos. The amendments address concerns regarding casino integrity that have been the focus of </w:t>
      </w:r>
      <w:r w:rsidR="00BB21BF"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national </w:t>
      </w: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high-profile allegations and investigations</w:t>
      </w:r>
      <w:r w:rsidR="00BB21B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.</w:t>
      </w: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06CD10B4" w14:textId="7C5B3037" w:rsidR="00B203DC" w:rsidRPr="0055584C" w:rsidRDefault="00B203DC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Generally, the amendments to address casino integrity will</w:t>
      </w:r>
      <w:r w:rsidRPr="0055584C">
        <w:rPr>
          <w:rFonts w:ascii="Arial" w:hAnsi="Arial" w:cs="Arial"/>
          <w:sz w:val="22"/>
          <w:szCs w:val="22"/>
        </w:rPr>
        <w:t xml:space="preserve"> increase key penalties under the Casino Control Act, ensure meaningful disciplinary action can be taken against casino entities (including a new disciplinary fine</w:t>
      </w:r>
      <w:r w:rsidR="0009797F">
        <w:rPr>
          <w:rFonts w:ascii="Arial" w:hAnsi="Arial" w:cs="Arial"/>
          <w:sz w:val="22"/>
          <w:szCs w:val="22"/>
        </w:rPr>
        <w:t xml:space="preserve"> of up to $50 million</w:t>
      </w:r>
      <w:r w:rsidRPr="0055584C">
        <w:rPr>
          <w:rFonts w:ascii="Arial" w:hAnsi="Arial" w:cs="Arial"/>
          <w:sz w:val="22"/>
          <w:szCs w:val="22"/>
        </w:rPr>
        <w:t xml:space="preserve">), place positive obligations on casino entities to cooperate with and disclose information to the regulator, and allow the regulator to impose certain costs on casino entities. </w:t>
      </w:r>
    </w:p>
    <w:p w14:paraId="577FBE93" w14:textId="1280D015" w:rsidR="0055584C" w:rsidRPr="000A054F" w:rsidRDefault="00B203DC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The Bill also contains amendments to Queensland’s gambling legislation to</w:t>
      </w:r>
      <w:r w:rsidR="0055584C"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modernise the Acts. The amendments primarily relate to the Government’s commitment to facilitate a safe transition to cashless gaming in Queensland. </w:t>
      </w:r>
      <w:r w:rsidR="000A05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The amendments allow new payment methods and systems to be approved, </w:t>
      </w:r>
      <w:r w:rsidR="00E512F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but will subject those payment methods and systems to </w:t>
      </w:r>
      <w:r w:rsidR="000A05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technical evaluation and </w:t>
      </w:r>
      <w:r w:rsidR="00E512F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approval </w:t>
      </w:r>
      <w:r w:rsidR="000A05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conditions</w:t>
      </w:r>
      <w:r w:rsidR="0009797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(if necessary)</w:t>
      </w:r>
      <w:r w:rsidR="000A05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to address</w:t>
      </w:r>
      <w:r w:rsidR="003C1BE7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E512F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any </w:t>
      </w:r>
      <w:r w:rsidR="003C1BE7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potential harms. </w:t>
      </w:r>
      <w:r w:rsidR="000A054F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The Bill </w:t>
      </w:r>
      <w:r w:rsidR="00E4619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would </w:t>
      </w:r>
      <w:r w:rsidR="00E512FA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increase the Government’s ability to reduce the potential harms from gambling by allowing </w:t>
      </w:r>
      <w:r w:rsidR="0055584C" w:rsidRPr="000A054F">
        <w:rPr>
          <w:rFonts w:ascii="Arial" w:hAnsi="Arial" w:cs="Arial"/>
          <w:sz w:val="22"/>
          <w:szCs w:val="22"/>
        </w:rPr>
        <w:t>harm minimisation measures to be mandated by</w:t>
      </w:r>
      <w:r w:rsidR="0009797F">
        <w:rPr>
          <w:rFonts w:ascii="Arial" w:hAnsi="Arial" w:cs="Arial"/>
          <w:sz w:val="22"/>
          <w:szCs w:val="22"/>
        </w:rPr>
        <w:t xml:space="preserve"> </w:t>
      </w:r>
      <w:r w:rsidR="0055584C" w:rsidRPr="000A054F">
        <w:rPr>
          <w:rFonts w:ascii="Arial" w:hAnsi="Arial" w:cs="Arial"/>
          <w:sz w:val="22"/>
          <w:szCs w:val="22"/>
        </w:rPr>
        <w:t>regulation</w:t>
      </w:r>
      <w:r w:rsidR="00E512FA">
        <w:rPr>
          <w:rFonts w:ascii="Arial" w:hAnsi="Arial" w:cs="Arial"/>
          <w:sz w:val="22"/>
          <w:szCs w:val="22"/>
        </w:rPr>
        <w:t xml:space="preserve">. The </w:t>
      </w:r>
      <w:r w:rsidR="0009797F">
        <w:rPr>
          <w:rFonts w:ascii="Arial" w:hAnsi="Arial" w:cs="Arial"/>
          <w:sz w:val="22"/>
          <w:szCs w:val="22"/>
        </w:rPr>
        <w:t xml:space="preserve">Bill additionally ensures that the </w:t>
      </w:r>
      <w:r w:rsidR="00E512FA">
        <w:rPr>
          <w:rFonts w:ascii="Arial" w:hAnsi="Arial" w:cs="Arial"/>
          <w:sz w:val="22"/>
          <w:szCs w:val="22"/>
        </w:rPr>
        <w:t xml:space="preserve">regulator </w:t>
      </w:r>
      <w:r w:rsidR="005529E6">
        <w:rPr>
          <w:rFonts w:ascii="Arial" w:hAnsi="Arial" w:cs="Arial"/>
          <w:sz w:val="22"/>
          <w:szCs w:val="22"/>
        </w:rPr>
        <w:t xml:space="preserve">will have </w:t>
      </w:r>
      <w:r w:rsidR="00E512FA">
        <w:rPr>
          <w:rFonts w:ascii="Arial" w:hAnsi="Arial" w:cs="Arial"/>
          <w:sz w:val="22"/>
          <w:szCs w:val="22"/>
        </w:rPr>
        <w:t>guideline-making powers</w:t>
      </w:r>
      <w:r w:rsidR="0009797F">
        <w:rPr>
          <w:rFonts w:ascii="Arial" w:hAnsi="Arial" w:cs="Arial"/>
          <w:sz w:val="22"/>
          <w:szCs w:val="22"/>
        </w:rPr>
        <w:t xml:space="preserve"> across all gambling Acts</w:t>
      </w:r>
      <w:r w:rsidR="0055584C" w:rsidRPr="000A054F">
        <w:rPr>
          <w:rFonts w:ascii="Arial" w:hAnsi="Arial" w:cs="Arial"/>
          <w:sz w:val="22"/>
          <w:szCs w:val="22"/>
        </w:rPr>
        <w:t xml:space="preserve">. </w:t>
      </w:r>
    </w:p>
    <w:p w14:paraId="27FA722A" w14:textId="72BB74CA" w:rsidR="0055584C" w:rsidRPr="0055584C" w:rsidRDefault="0055584C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5584C">
        <w:rPr>
          <w:rFonts w:ascii="Arial" w:hAnsi="Arial" w:cs="Arial"/>
          <w:sz w:val="22"/>
          <w:szCs w:val="22"/>
        </w:rPr>
        <w:t>The Bill also proposes to remove redundant individual (employee) licensing requirements from</w:t>
      </w:r>
      <w:r w:rsidR="000A054F">
        <w:rPr>
          <w:rFonts w:ascii="Arial" w:hAnsi="Arial" w:cs="Arial"/>
          <w:sz w:val="22"/>
          <w:szCs w:val="22"/>
        </w:rPr>
        <w:t xml:space="preserve"> the Casino Control Act </w:t>
      </w:r>
      <w:r w:rsidRPr="0055584C">
        <w:rPr>
          <w:rFonts w:ascii="Arial" w:hAnsi="Arial" w:cs="Arial"/>
          <w:sz w:val="22"/>
          <w:szCs w:val="22"/>
        </w:rPr>
        <w:t>and remove</w:t>
      </w:r>
      <w:r w:rsidR="005A6320">
        <w:rPr>
          <w:rFonts w:ascii="Arial" w:hAnsi="Arial" w:cs="Arial"/>
          <w:sz w:val="22"/>
          <w:szCs w:val="22"/>
        </w:rPr>
        <w:t>s</w:t>
      </w:r>
      <w:r w:rsidRPr="0055584C">
        <w:rPr>
          <w:rFonts w:ascii="Arial" w:hAnsi="Arial" w:cs="Arial"/>
          <w:sz w:val="22"/>
          <w:szCs w:val="22"/>
        </w:rPr>
        <w:t xml:space="preserve"> a detention power from that Act which is incompatible with the </w:t>
      </w:r>
      <w:r w:rsidRPr="0055584C">
        <w:rPr>
          <w:rFonts w:ascii="Arial" w:hAnsi="Arial" w:cs="Arial"/>
          <w:i/>
          <w:iCs/>
          <w:sz w:val="22"/>
          <w:szCs w:val="22"/>
        </w:rPr>
        <w:t>Human Rights Act 2019</w:t>
      </w:r>
      <w:r w:rsidRPr="0055584C">
        <w:rPr>
          <w:rFonts w:ascii="Arial" w:hAnsi="Arial" w:cs="Arial"/>
          <w:sz w:val="22"/>
          <w:szCs w:val="22"/>
        </w:rPr>
        <w:t xml:space="preserve">. </w:t>
      </w:r>
      <w:r w:rsidR="00B203DC" w:rsidRPr="0055584C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57376765" w14:textId="6209AB38" w:rsidR="0055584C" w:rsidRPr="0055584C" w:rsidRDefault="0055584C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</w:pPr>
      <w:r w:rsidRPr="0055584C">
        <w:rPr>
          <w:rFonts w:ascii="Arial" w:hAnsi="Arial" w:cs="Arial"/>
          <w:sz w:val="22"/>
          <w:szCs w:val="22"/>
        </w:rPr>
        <w:t>The Bill also contains amendments to:</w:t>
      </w:r>
    </w:p>
    <w:p w14:paraId="03866849" w14:textId="1BDE4F31" w:rsidR="0055584C" w:rsidRPr="0055584C" w:rsidRDefault="0055584C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5584C">
        <w:rPr>
          <w:rFonts w:ascii="Arial" w:hAnsi="Arial" w:cs="Arial"/>
          <w:sz w:val="22"/>
          <w:szCs w:val="22"/>
        </w:rPr>
        <w:t>introduce a framework for wagering on simulated events</w:t>
      </w:r>
      <w:r w:rsidR="00E512FA">
        <w:rPr>
          <w:rFonts w:ascii="Arial" w:hAnsi="Arial" w:cs="Arial"/>
          <w:sz w:val="22"/>
          <w:szCs w:val="22"/>
        </w:rPr>
        <w:t xml:space="preserve"> within terrestrial wagering agencies and outlets</w:t>
      </w:r>
      <w:r w:rsidRPr="0055584C">
        <w:rPr>
          <w:rFonts w:ascii="Arial" w:hAnsi="Arial" w:cs="Arial"/>
          <w:sz w:val="22"/>
          <w:szCs w:val="22"/>
        </w:rPr>
        <w:t xml:space="preserve">, </w:t>
      </w:r>
      <w:r w:rsidR="00E512FA">
        <w:rPr>
          <w:rFonts w:ascii="Arial" w:hAnsi="Arial" w:cs="Arial"/>
          <w:sz w:val="22"/>
          <w:szCs w:val="22"/>
        </w:rPr>
        <w:t>subject to appropriate approvals and controls</w:t>
      </w:r>
      <w:r w:rsidRPr="0055584C">
        <w:rPr>
          <w:rFonts w:ascii="Arial" w:hAnsi="Arial" w:cs="Arial"/>
          <w:sz w:val="22"/>
          <w:szCs w:val="22"/>
        </w:rPr>
        <w:t>;</w:t>
      </w:r>
    </w:p>
    <w:p w14:paraId="565B5CC9" w14:textId="322CBD21" w:rsidR="0055584C" w:rsidRPr="0055584C" w:rsidRDefault="0055584C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5584C">
        <w:rPr>
          <w:rStyle w:val="eop"/>
          <w:rFonts w:ascii="Arial" w:hAnsi="Arial" w:cs="Arial"/>
          <w:color w:val="000000" w:themeColor="text1"/>
          <w:sz w:val="22"/>
          <w:szCs w:val="22"/>
        </w:rPr>
        <w:t>align gaming machine trading hours with extended liquor trading hours on New Year’s Day</w:t>
      </w:r>
      <w:r w:rsidR="00E512FA">
        <w:rPr>
          <w:rStyle w:val="eop"/>
          <w:rFonts w:ascii="Arial" w:hAnsi="Arial" w:cs="Arial"/>
          <w:color w:val="000000" w:themeColor="text1"/>
          <w:sz w:val="22"/>
          <w:szCs w:val="22"/>
        </w:rPr>
        <w:t>, in accordance with operational policy over the past two decades</w:t>
      </w:r>
      <w:r w:rsidRPr="0055584C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0A054F">
        <w:rPr>
          <w:rStyle w:val="eop"/>
          <w:rFonts w:ascii="Arial" w:hAnsi="Arial" w:cs="Arial"/>
          <w:color w:val="000000" w:themeColor="text1"/>
          <w:sz w:val="22"/>
          <w:szCs w:val="22"/>
        </w:rPr>
        <w:t xml:space="preserve">and </w:t>
      </w:r>
    </w:p>
    <w:p w14:paraId="7493C6CD" w14:textId="5096D626" w:rsidR="00B203DC" w:rsidRPr="000A054F" w:rsidRDefault="0055584C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55584C">
        <w:rPr>
          <w:rFonts w:ascii="Arial" w:hAnsi="Arial" w:cs="Arial"/>
          <w:sz w:val="22"/>
          <w:szCs w:val="22"/>
        </w:rPr>
        <w:t xml:space="preserve">implement a cross-border recognition model for </w:t>
      </w:r>
      <w:r w:rsidR="00BB21BF">
        <w:rPr>
          <w:rFonts w:ascii="Arial" w:hAnsi="Arial" w:cs="Arial"/>
          <w:sz w:val="22"/>
          <w:szCs w:val="22"/>
        </w:rPr>
        <w:t xml:space="preserve">the authorisation of </w:t>
      </w:r>
      <w:r w:rsidRPr="0055584C">
        <w:rPr>
          <w:rFonts w:ascii="Arial" w:hAnsi="Arial" w:cs="Arial"/>
          <w:sz w:val="22"/>
          <w:szCs w:val="22"/>
        </w:rPr>
        <w:t xml:space="preserve">charitable fundraising under the </w:t>
      </w:r>
      <w:r w:rsidRPr="0055584C">
        <w:rPr>
          <w:rFonts w:ascii="Arial" w:hAnsi="Arial" w:cs="Arial"/>
          <w:i/>
          <w:iCs/>
          <w:sz w:val="22"/>
          <w:szCs w:val="22"/>
        </w:rPr>
        <w:t xml:space="preserve">Collections Act 1966 </w:t>
      </w:r>
      <w:r w:rsidRPr="0055584C">
        <w:rPr>
          <w:rFonts w:ascii="Arial" w:hAnsi="Arial" w:cs="Arial"/>
          <w:sz w:val="22"/>
          <w:szCs w:val="22"/>
        </w:rPr>
        <w:t xml:space="preserve">to reduce </w:t>
      </w:r>
      <w:r w:rsidR="000A054F">
        <w:rPr>
          <w:rFonts w:ascii="Arial" w:hAnsi="Arial" w:cs="Arial"/>
          <w:sz w:val="22"/>
          <w:szCs w:val="22"/>
        </w:rPr>
        <w:t xml:space="preserve">tape for charities. </w:t>
      </w:r>
      <w:r w:rsidRPr="0055584C">
        <w:rPr>
          <w:rFonts w:ascii="Arial" w:hAnsi="Arial" w:cs="Arial"/>
          <w:sz w:val="22"/>
          <w:szCs w:val="22"/>
        </w:rPr>
        <w:t xml:space="preserve"> </w:t>
      </w:r>
    </w:p>
    <w:p w14:paraId="6E4930B5" w14:textId="61697B6A" w:rsidR="00ED1B35" w:rsidRPr="0055584C" w:rsidRDefault="00ED1B35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55584C">
        <w:rPr>
          <w:rFonts w:ascii="Arial" w:eastAsia="Calibri" w:hAnsi="Arial" w:cs="Arial"/>
          <w:color w:val="000000" w:themeColor="text1"/>
          <w:sz w:val="22"/>
          <w:szCs w:val="22"/>
          <w:u w:val="single"/>
          <w:lang w:eastAsia="en-US"/>
        </w:rPr>
        <w:t>Cabinet approved</w:t>
      </w:r>
      <w:r w:rsidRPr="0055584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the </w:t>
      </w:r>
      <w:r w:rsidRPr="00584C70">
        <w:rPr>
          <w:rFonts w:ascii="Arial" w:hAnsi="Arial" w:cs="Arial"/>
          <w:sz w:val="22"/>
          <w:szCs w:val="22"/>
        </w:rPr>
        <w:t>introduction</w:t>
      </w:r>
      <w:r w:rsidRPr="0055584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of the </w:t>
      </w:r>
      <w:r w:rsidR="00E4619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Casino Control and Other Legislation Amendment </w:t>
      </w:r>
      <w:r w:rsidRPr="0055584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Bill </w:t>
      </w:r>
      <w:r w:rsidR="00E46199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2022 </w:t>
      </w:r>
      <w:r w:rsidRPr="0055584C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into the Legislative Assembly. </w:t>
      </w:r>
    </w:p>
    <w:p w14:paraId="5968A83D" w14:textId="5F722E67" w:rsidR="00ED1B35" w:rsidRPr="0055584C" w:rsidRDefault="00ED1B35" w:rsidP="00584C70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eastAsia="Calibri" w:hAnsi="Arial" w:cs="Arial"/>
          <w:bCs/>
          <w:color w:val="000000" w:themeColor="text1"/>
          <w:sz w:val="22"/>
          <w:szCs w:val="22"/>
          <w:u w:val="single"/>
          <w:lang w:eastAsia="en-US"/>
        </w:rPr>
      </w:pPr>
      <w:r w:rsidRPr="00E4619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  <w:u w:val="single"/>
          <w:lang w:eastAsia="en-US"/>
        </w:rPr>
        <w:t>Attachments</w:t>
      </w:r>
      <w:r w:rsidR="00E46199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:</w:t>
      </w:r>
    </w:p>
    <w:p w14:paraId="05A71787" w14:textId="564E2D3D" w:rsidR="00ED1B35" w:rsidRPr="00584C70" w:rsidRDefault="006218B5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B203DC" w:rsidRPr="001A7B21">
          <w:rPr>
            <w:rStyle w:val="Hyperlink"/>
            <w:rFonts w:ascii="Arial" w:eastAsia="Calibri" w:hAnsi="Arial" w:cs="Arial"/>
            <w:bCs/>
            <w:sz w:val="22"/>
            <w:szCs w:val="22"/>
            <w:lang w:eastAsia="en-US"/>
          </w:rPr>
          <w:t>C</w:t>
        </w:r>
        <w:r w:rsidR="00B203DC" w:rsidRPr="001A7B21">
          <w:rPr>
            <w:rStyle w:val="Hyperlink"/>
            <w:rFonts w:ascii="Arial" w:hAnsi="Arial" w:cs="Arial"/>
            <w:sz w:val="22"/>
            <w:szCs w:val="22"/>
          </w:rPr>
          <w:t>asino Control and Other Legislation Amendment Bill 2022</w:t>
        </w:r>
      </w:hyperlink>
    </w:p>
    <w:p w14:paraId="763E51FC" w14:textId="00773909" w:rsidR="00ED1B35" w:rsidRPr="00584C70" w:rsidRDefault="006218B5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ED1B35" w:rsidRPr="001A7B21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58D91B1A" w14:textId="44124C00" w:rsidR="00D96DD5" w:rsidRPr="00E512FA" w:rsidRDefault="006218B5" w:rsidP="00584C70">
      <w:pPr>
        <w:pStyle w:val="ListParagraph"/>
        <w:keepLines/>
        <w:numPr>
          <w:ilvl w:val="0"/>
          <w:numId w:val="5"/>
        </w:numPr>
        <w:spacing w:before="120"/>
        <w:ind w:left="709" w:hanging="284"/>
        <w:contextualSpacing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hyperlink r:id="rId12" w:history="1">
        <w:r w:rsidR="00ED1B35" w:rsidRPr="001A7B21">
          <w:rPr>
            <w:rStyle w:val="Hyperlink"/>
            <w:rFonts w:ascii="Arial" w:hAnsi="Arial" w:cs="Arial"/>
            <w:sz w:val="22"/>
            <w:szCs w:val="22"/>
          </w:rPr>
          <w:t>Sta</w:t>
        </w:r>
        <w:r w:rsidR="00ED1B35" w:rsidRPr="001A7B21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 xml:space="preserve">tement of </w:t>
        </w:r>
        <w:r w:rsidR="00B203DC" w:rsidRPr="001A7B21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>C</w:t>
        </w:r>
        <w:r w:rsidR="00ED1B35" w:rsidRPr="001A7B21">
          <w:rPr>
            <w:rStyle w:val="Hyperlink"/>
            <w:rFonts w:ascii="Arial" w:eastAsia="Calibri" w:hAnsi="Arial" w:cs="Arial"/>
            <w:sz w:val="22"/>
            <w:szCs w:val="22"/>
            <w:lang w:eastAsia="en-US"/>
          </w:rPr>
          <w:t xml:space="preserve">ompatibility with the </w:t>
        </w:r>
        <w:r w:rsidR="00ED1B35" w:rsidRPr="001A7B21">
          <w:rPr>
            <w:rStyle w:val="Hyperlink"/>
            <w:rFonts w:ascii="Arial" w:eastAsia="Calibri" w:hAnsi="Arial" w:cs="Arial"/>
            <w:i/>
            <w:iCs/>
            <w:sz w:val="22"/>
            <w:szCs w:val="22"/>
            <w:lang w:eastAsia="en-US"/>
          </w:rPr>
          <w:t>Human Rights Act 2019</w:t>
        </w:r>
      </w:hyperlink>
      <w:r w:rsidR="00ED1B35" w:rsidRPr="0055584C">
        <w:rPr>
          <w:rFonts w:ascii="Arial" w:eastAsia="Calibri" w:hAnsi="Arial" w:cs="Arial"/>
          <w:i/>
          <w:iCs/>
          <w:color w:val="000000" w:themeColor="text1"/>
          <w:sz w:val="22"/>
          <w:szCs w:val="22"/>
          <w:lang w:eastAsia="en-US"/>
        </w:rPr>
        <w:t xml:space="preserve"> </w:t>
      </w:r>
    </w:p>
    <w:sectPr w:rsidR="00D96DD5" w:rsidRPr="00E512FA" w:rsidSect="00237A34">
      <w:head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C55D" w14:textId="77777777" w:rsidR="0007759D" w:rsidRDefault="0007759D" w:rsidP="00ED1B35">
      <w:r>
        <w:separator/>
      </w:r>
    </w:p>
  </w:endnote>
  <w:endnote w:type="continuationSeparator" w:id="0">
    <w:p w14:paraId="683A60D3" w14:textId="77777777" w:rsidR="0007759D" w:rsidRDefault="0007759D" w:rsidP="00ED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E96E" w14:textId="77777777" w:rsidR="0007759D" w:rsidRDefault="0007759D" w:rsidP="00ED1B35">
      <w:r>
        <w:separator/>
      </w:r>
    </w:p>
  </w:footnote>
  <w:footnote w:type="continuationSeparator" w:id="0">
    <w:p w14:paraId="7865DEBA" w14:textId="77777777" w:rsidR="0007759D" w:rsidRDefault="0007759D" w:rsidP="00ED1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C2B6" w14:textId="77777777" w:rsidR="00547A19" w:rsidRPr="00937A4A" w:rsidRDefault="00547A19" w:rsidP="00547A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AFE97C9" w14:textId="77777777" w:rsidR="00547A19" w:rsidRPr="00937A4A" w:rsidRDefault="00547A19" w:rsidP="00547A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11C16D" w14:textId="77777777" w:rsidR="00547A19" w:rsidRPr="00BD6C2E" w:rsidRDefault="00547A19" w:rsidP="00547A1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BD6C2E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May 2022</w:t>
    </w:r>
  </w:p>
  <w:p w14:paraId="48365068" w14:textId="06A10422" w:rsidR="00547A19" w:rsidRPr="000915E4" w:rsidRDefault="00547A19" w:rsidP="00584C7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Casino Control and Other Legislation Amendment Bill 2022</w:t>
    </w:r>
  </w:p>
  <w:p w14:paraId="2234AB1A" w14:textId="57A82EEA" w:rsidR="00547A19" w:rsidRDefault="00547A19" w:rsidP="00584C70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Minister for Justice, Minister for Women and Minister for the Prevention of Domestic and Family Violence </w:t>
    </w:r>
  </w:p>
  <w:p w14:paraId="6A1CA6FD" w14:textId="77777777" w:rsidR="00237A34" w:rsidRDefault="00237A34" w:rsidP="00584C70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33E"/>
    <w:multiLevelType w:val="hybridMultilevel"/>
    <w:tmpl w:val="384E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596D"/>
    <w:multiLevelType w:val="hybridMultilevel"/>
    <w:tmpl w:val="D5B058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00002D"/>
    <w:multiLevelType w:val="hybridMultilevel"/>
    <w:tmpl w:val="085ABD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E4382"/>
    <w:multiLevelType w:val="hybridMultilevel"/>
    <w:tmpl w:val="70F842FA"/>
    <w:lvl w:ilvl="0" w:tplc="CC7E8D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656579">
    <w:abstractNumId w:val="4"/>
  </w:num>
  <w:num w:numId="2" w16cid:durableId="340817981">
    <w:abstractNumId w:val="0"/>
  </w:num>
  <w:num w:numId="3" w16cid:durableId="1236237164">
    <w:abstractNumId w:val="2"/>
  </w:num>
  <w:num w:numId="4" w16cid:durableId="259729330">
    <w:abstractNumId w:val="3"/>
  </w:num>
  <w:num w:numId="5" w16cid:durableId="774404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35"/>
    <w:rsid w:val="0007759D"/>
    <w:rsid w:val="0009797F"/>
    <w:rsid w:val="000A054F"/>
    <w:rsid w:val="001A7B21"/>
    <w:rsid w:val="00237A34"/>
    <w:rsid w:val="00265064"/>
    <w:rsid w:val="003C1BE7"/>
    <w:rsid w:val="0040690D"/>
    <w:rsid w:val="00547A19"/>
    <w:rsid w:val="005529E6"/>
    <w:rsid w:val="0055584C"/>
    <w:rsid w:val="00584C70"/>
    <w:rsid w:val="005A6320"/>
    <w:rsid w:val="005E0D35"/>
    <w:rsid w:val="006218B5"/>
    <w:rsid w:val="006914C3"/>
    <w:rsid w:val="00721C88"/>
    <w:rsid w:val="007751AA"/>
    <w:rsid w:val="008D234E"/>
    <w:rsid w:val="00B203DC"/>
    <w:rsid w:val="00BB21BF"/>
    <w:rsid w:val="00BF75EC"/>
    <w:rsid w:val="00D96DD5"/>
    <w:rsid w:val="00E46199"/>
    <w:rsid w:val="00E512FA"/>
    <w:rsid w:val="00ED1B35"/>
    <w:rsid w:val="00FC0E44"/>
    <w:rsid w:val="00FD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A3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B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B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B35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D1B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1B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B35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customStyle="1" w:styleId="eop">
    <w:name w:val="eop"/>
    <w:basedOn w:val="DefaultParagraphFont"/>
    <w:rsid w:val="0055584C"/>
  </w:style>
  <w:style w:type="paragraph" w:styleId="Revision">
    <w:name w:val="Revision"/>
    <w:hidden/>
    <w:uiPriority w:val="99"/>
    <w:semiHidden/>
    <w:rsid w:val="00237A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1A7B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B8511-B611-4AFF-8F9E-1EE550BA88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2765A9-412B-4D91-8AD9-23FEF37AB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A7B0E-23A1-4F5C-BF63-B1E41DEA23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378</Words>
  <Characters>2198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Base>https://www.cabinet.qld.gov.au/documents/2022/May/CCOLAB22/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2022-10-21T01:31:00Z</cp:lastPrinted>
  <dcterms:created xsi:type="dcterms:W3CDTF">2022-08-08T03:18:00Z</dcterms:created>
  <dcterms:modified xsi:type="dcterms:W3CDTF">2023-01-19T22:40:00Z</dcterms:modified>
  <cp:category>Gaming,Legislation,Wagering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2828d4-d65e-4c38-b4f3-1feba3142871_Enabled">
    <vt:lpwstr>true</vt:lpwstr>
  </property>
  <property fmtid="{D5CDD505-2E9C-101B-9397-08002B2CF9AE}" pid="3" name="MSIP_Label_282828d4-d65e-4c38-b4f3-1feba3142871_SetDate">
    <vt:lpwstr>2023-01-19T22:40:25Z</vt:lpwstr>
  </property>
  <property fmtid="{D5CDD505-2E9C-101B-9397-08002B2CF9AE}" pid="4" name="MSIP_Label_282828d4-d65e-4c38-b4f3-1feba3142871_Method">
    <vt:lpwstr>Standard</vt:lpwstr>
  </property>
  <property fmtid="{D5CDD505-2E9C-101B-9397-08002B2CF9AE}" pid="5" name="MSIP_Label_282828d4-d65e-4c38-b4f3-1feba3142871_Name">
    <vt:lpwstr>OFFICIAL</vt:lpwstr>
  </property>
  <property fmtid="{D5CDD505-2E9C-101B-9397-08002B2CF9AE}" pid="6" name="MSIP_Label_282828d4-d65e-4c38-b4f3-1feba3142871_SiteId">
    <vt:lpwstr>51778d2a-a6ab-4c76-97dc-782782d65046</vt:lpwstr>
  </property>
  <property fmtid="{D5CDD505-2E9C-101B-9397-08002B2CF9AE}" pid="7" name="MSIP_Label_282828d4-d65e-4c38-b4f3-1feba3142871_ActionId">
    <vt:lpwstr>7b3df7cd-a651-4e23-9986-6621c53d14eb</vt:lpwstr>
  </property>
  <property fmtid="{D5CDD505-2E9C-101B-9397-08002B2CF9AE}" pid="8" name="MSIP_Label_282828d4-d65e-4c38-b4f3-1feba3142871_ContentBits">
    <vt:lpwstr>0</vt:lpwstr>
  </property>
</Properties>
</file>